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05" w:rsidRDefault="00A27D05" w:rsidP="00D74B81">
      <w:pPr>
        <w:ind w:right="-24"/>
        <w:jc w:val="center"/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>Writing an</w:t>
      </w:r>
    </w:p>
    <w:p w:rsidR="008949A4" w:rsidRDefault="00C44064" w:rsidP="00CD262E">
      <w:pPr>
        <w:jc w:val="center"/>
        <w:rPr>
          <w:rFonts w:ascii="Algerian" w:hAnsi="Algerian"/>
        </w:rPr>
      </w:pPr>
      <w:r w:rsidRPr="00CD262E">
        <w:rPr>
          <w:rFonts w:ascii="Algerian" w:hAnsi="Algerian"/>
        </w:rPr>
        <w:t>Analytical Commentary</w:t>
      </w:r>
      <w:r w:rsidR="00CE23AE">
        <w:rPr>
          <w:rFonts w:ascii="Algerian" w:hAnsi="Algerian"/>
        </w:rPr>
        <w:t xml:space="preserve"> in English Language</w:t>
      </w:r>
    </w:p>
    <w:p w:rsidR="00CE23AE" w:rsidRDefault="00CE23AE" w:rsidP="00CD262E">
      <w:pPr>
        <w:jc w:val="center"/>
        <w:rPr>
          <w:rFonts w:ascii="Algerian" w:hAnsi="Algerian"/>
        </w:rPr>
      </w:pPr>
    </w:p>
    <w:p w:rsidR="00B97DE2" w:rsidRDefault="00B97DE2" w:rsidP="00B97DE2">
      <w:pPr>
        <w:pStyle w:val="ListParagraph"/>
        <w:numPr>
          <w:ilvl w:val="0"/>
          <w:numId w:val="4"/>
        </w:numPr>
        <w:rPr>
          <w:rFonts w:ascii="Algerian" w:hAnsi="Algerian"/>
        </w:rPr>
      </w:pPr>
      <w:r>
        <w:rPr>
          <w:rFonts w:ascii="Algerian" w:hAnsi="Algerian"/>
        </w:rPr>
        <w:t>500-600 words</w:t>
      </w:r>
    </w:p>
    <w:p w:rsidR="00B97DE2" w:rsidRDefault="008601C3" w:rsidP="00B97DE2">
      <w:pPr>
        <w:pStyle w:val="ListParagraph"/>
        <w:numPr>
          <w:ilvl w:val="0"/>
          <w:numId w:val="4"/>
        </w:numPr>
        <w:rPr>
          <w:rFonts w:ascii="Algerian" w:hAnsi="Algerian"/>
        </w:rPr>
      </w:pPr>
      <w:r>
        <w:rPr>
          <w:rFonts w:ascii="Algerian" w:hAnsi="Algerian"/>
        </w:rPr>
        <w:t>4 paragraphs</w:t>
      </w:r>
    </w:p>
    <w:p w:rsidR="008601C3" w:rsidRDefault="008601C3" w:rsidP="00B97DE2">
      <w:pPr>
        <w:pStyle w:val="ListParagraph"/>
        <w:numPr>
          <w:ilvl w:val="0"/>
          <w:numId w:val="4"/>
        </w:numPr>
        <w:rPr>
          <w:rFonts w:ascii="Algerian" w:hAnsi="Algerian"/>
        </w:rPr>
      </w:pPr>
      <w:r>
        <w:rPr>
          <w:rFonts w:ascii="Algerian" w:hAnsi="Algerian"/>
        </w:rPr>
        <w:t>Refer to at least 2 subsystems</w:t>
      </w:r>
    </w:p>
    <w:p w:rsidR="008601C3" w:rsidRPr="00B97DE2" w:rsidRDefault="008601C3" w:rsidP="008601C3">
      <w:pPr>
        <w:pStyle w:val="ListParagraph"/>
        <w:rPr>
          <w:rFonts w:ascii="Algerian" w:hAnsi="Algerian"/>
        </w:rPr>
      </w:pPr>
    </w:p>
    <w:p w:rsidR="00CD262E" w:rsidRPr="00CD262E" w:rsidRDefault="00CD262E">
      <w:pPr>
        <w:rPr>
          <w:b/>
          <w:sz w:val="24"/>
          <w:szCs w:val="24"/>
        </w:rPr>
      </w:pPr>
      <w:r w:rsidRPr="00CD262E">
        <w:rPr>
          <w:b/>
          <w:sz w:val="24"/>
          <w:szCs w:val="24"/>
        </w:rPr>
        <w:t>What to take into consideration:</w:t>
      </w:r>
    </w:p>
    <w:p w:rsidR="00C44064" w:rsidRPr="00CD262E" w:rsidRDefault="00C44064">
      <w:pPr>
        <w:rPr>
          <w:sz w:val="24"/>
          <w:szCs w:val="24"/>
        </w:rPr>
      </w:pPr>
      <w:r w:rsidRPr="00CD262E">
        <w:rPr>
          <w:sz w:val="24"/>
          <w:szCs w:val="24"/>
        </w:rPr>
        <w:t>-mode</w:t>
      </w:r>
      <w:r w:rsidR="00CE23AE">
        <w:rPr>
          <w:sz w:val="24"/>
          <w:szCs w:val="24"/>
        </w:rPr>
        <w:t>: consider features of spoken text OR features of written text</w:t>
      </w:r>
    </w:p>
    <w:p w:rsidR="00C44064" w:rsidRPr="00CD262E" w:rsidRDefault="00C44064">
      <w:pPr>
        <w:rPr>
          <w:sz w:val="24"/>
          <w:szCs w:val="24"/>
        </w:rPr>
      </w:pPr>
      <w:r w:rsidRPr="00CD262E">
        <w:rPr>
          <w:sz w:val="24"/>
          <w:szCs w:val="24"/>
        </w:rPr>
        <w:t>-audience</w:t>
      </w:r>
      <w:r w:rsidR="00A93401">
        <w:rPr>
          <w:sz w:val="24"/>
          <w:szCs w:val="24"/>
        </w:rPr>
        <w:t>: POA /interlocutors’ backgrounds (</w:t>
      </w:r>
      <w:proofErr w:type="spellStart"/>
      <w:r w:rsidR="00A93401">
        <w:rPr>
          <w:sz w:val="24"/>
          <w:szCs w:val="24"/>
        </w:rPr>
        <w:t>ethnolect</w:t>
      </w:r>
      <w:proofErr w:type="spellEnd"/>
      <w:r w:rsidR="00A93401">
        <w:rPr>
          <w:sz w:val="24"/>
          <w:szCs w:val="24"/>
        </w:rPr>
        <w:t>/Aboriginal English)</w:t>
      </w:r>
    </w:p>
    <w:p w:rsidR="00C44064" w:rsidRPr="00CD262E" w:rsidRDefault="00C44064">
      <w:pPr>
        <w:rPr>
          <w:sz w:val="24"/>
          <w:szCs w:val="24"/>
        </w:rPr>
      </w:pPr>
      <w:proofErr w:type="gramStart"/>
      <w:r w:rsidRPr="00CD262E">
        <w:rPr>
          <w:sz w:val="24"/>
          <w:szCs w:val="24"/>
        </w:rPr>
        <w:t>-function</w:t>
      </w:r>
      <w:r w:rsidR="00CE23AE">
        <w:rPr>
          <w:sz w:val="24"/>
          <w:szCs w:val="24"/>
        </w:rPr>
        <w:t>: seeking information/recording facts/entertainment etc.</w:t>
      </w:r>
      <w:proofErr w:type="gramEnd"/>
    </w:p>
    <w:p w:rsidR="00C44064" w:rsidRPr="00CD262E" w:rsidRDefault="00C44064">
      <w:pPr>
        <w:rPr>
          <w:sz w:val="24"/>
          <w:szCs w:val="24"/>
        </w:rPr>
      </w:pPr>
      <w:r w:rsidRPr="00CD262E">
        <w:rPr>
          <w:sz w:val="24"/>
          <w:szCs w:val="24"/>
        </w:rPr>
        <w:t>-context</w:t>
      </w:r>
      <w:r w:rsidR="00CE23AE">
        <w:rPr>
          <w:sz w:val="24"/>
          <w:szCs w:val="24"/>
        </w:rPr>
        <w:t>: the situation or circumstances surrounding the text</w:t>
      </w:r>
    </w:p>
    <w:p w:rsidR="00C44064" w:rsidRPr="00CD262E" w:rsidRDefault="00C44064">
      <w:pPr>
        <w:rPr>
          <w:sz w:val="24"/>
          <w:szCs w:val="24"/>
        </w:rPr>
      </w:pPr>
      <w:r w:rsidRPr="00CD262E">
        <w:rPr>
          <w:sz w:val="24"/>
          <w:szCs w:val="24"/>
        </w:rPr>
        <w:t>-lexicon</w:t>
      </w:r>
      <w:r w:rsidR="00CD262E" w:rsidRPr="00CD262E">
        <w:rPr>
          <w:sz w:val="24"/>
          <w:szCs w:val="24"/>
        </w:rPr>
        <w:t>/register</w:t>
      </w:r>
      <w:r w:rsidRPr="00CD262E">
        <w:rPr>
          <w:sz w:val="24"/>
          <w:szCs w:val="24"/>
        </w:rPr>
        <w:t xml:space="preserve">: slang, jargon, euphemisms, </w:t>
      </w:r>
      <w:proofErr w:type="spellStart"/>
      <w:r w:rsidRPr="00CD262E">
        <w:rPr>
          <w:sz w:val="24"/>
          <w:szCs w:val="24"/>
        </w:rPr>
        <w:t>dysphemisms</w:t>
      </w:r>
      <w:proofErr w:type="spellEnd"/>
      <w:r w:rsidRPr="00CD262E">
        <w:rPr>
          <w:sz w:val="24"/>
          <w:szCs w:val="24"/>
        </w:rPr>
        <w:t>, taboo language, political</w:t>
      </w:r>
      <w:r w:rsidR="00CD262E" w:rsidRPr="00CD262E">
        <w:rPr>
          <w:sz w:val="24"/>
          <w:szCs w:val="24"/>
        </w:rPr>
        <w:t>ly</w:t>
      </w:r>
      <w:r w:rsidRPr="00CD262E">
        <w:rPr>
          <w:sz w:val="24"/>
          <w:szCs w:val="24"/>
        </w:rPr>
        <w:t xml:space="preserve"> correct</w:t>
      </w:r>
      <w:r w:rsidR="00CD262E" w:rsidRPr="00CD262E">
        <w:rPr>
          <w:sz w:val="24"/>
          <w:szCs w:val="24"/>
        </w:rPr>
        <w:t xml:space="preserve"> language</w:t>
      </w:r>
      <w:r w:rsidRPr="00CD262E">
        <w:rPr>
          <w:sz w:val="24"/>
          <w:szCs w:val="24"/>
        </w:rPr>
        <w:t>, double speak, figurative language, literary devices,  discourse markers/particles,</w:t>
      </w:r>
      <w:r w:rsidR="00CD262E" w:rsidRPr="00CD262E">
        <w:rPr>
          <w:sz w:val="24"/>
          <w:szCs w:val="24"/>
        </w:rPr>
        <w:t xml:space="preserve"> intensifiers, </w:t>
      </w:r>
      <w:proofErr w:type="spellStart"/>
      <w:r w:rsidR="00CD262E" w:rsidRPr="00CD262E">
        <w:rPr>
          <w:sz w:val="24"/>
          <w:szCs w:val="24"/>
        </w:rPr>
        <w:t>latinates</w:t>
      </w:r>
      <w:proofErr w:type="spellEnd"/>
      <w:r w:rsidR="00CD262E" w:rsidRPr="00CD262E">
        <w:rPr>
          <w:sz w:val="24"/>
          <w:szCs w:val="24"/>
        </w:rPr>
        <w:t xml:space="preserve">, </w:t>
      </w:r>
      <w:r w:rsidR="00A93401">
        <w:rPr>
          <w:sz w:val="24"/>
          <w:szCs w:val="24"/>
        </w:rPr>
        <w:t xml:space="preserve">variety of English used, </w:t>
      </w:r>
    </w:p>
    <w:p w:rsidR="00C44064" w:rsidRPr="00CD262E" w:rsidRDefault="00C44064">
      <w:pPr>
        <w:rPr>
          <w:sz w:val="24"/>
          <w:szCs w:val="24"/>
        </w:rPr>
      </w:pPr>
      <w:r w:rsidRPr="00CD262E">
        <w:rPr>
          <w:sz w:val="24"/>
          <w:szCs w:val="24"/>
        </w:rPr>
        <w:t>-syntax: sentence types, sentence structure, ellipsis</w:t>
      </w:r>
    </w:p>
    <w:p w:rsidR="00C44064" w:rsidRPr="00CD262E" w:rsidRDefault="00C44064">
      <w:pPr>
        <w:rPr>
          <w:sz w:val="24"/>
          <w:szCs w:val="24"/>
        </w:rPr>
      </w:pPr>
      <w:r w:rsidRPr="00CD262E">
        <w:rPr>
          <w:sz w:val="24"/>
          <w:szCs w:val="24"/>
        </w:rPr>
        <w:t>-discourse: cooperative prin</w:t>
      </w:r>
      <w:r w:rsidR="00CD262E" w:rsidRPr="00CD262E">
        <w:rPr>
          <w:sz w:val="24"/>
          <w:szCs w:val="24"/>
        </w:rPr>
        <w:t>ciples, cohesion and coherence</w:t>
      </w:r>
    </w:p>
    <w:p w:rsidR="00CD262E" w:rsidRDefault="00CD262E">
      <w:pPr>
        <w:rPr>
          <w:sz w:val="24"/>
          <w:szCs w:val="24"/>
        </w:rPr>
      </w:pPr>
      <w:r w:rsidRPr="00CD262E">
        <w:rPr>
          <w:sz w:val="24"/>
          <w:szCs w:val="24"/>
        </w:rPr>
        <w:t>-semantics: denotation/connotation, semantic properties</w:t>
      </w:r>
    </w:p>
    <w:p w:rsidR="00CD262E" w:rsidRPr="00CD262E" w:rsidRDefault="004B66E9">
      <w:pPr>
        <w:rPr>
          <w:sz w:val="24"/>
          <w:szCs w:val="24"/>
        </w:rPr>
      </w:pPr>
      <w:r>
        <w:rPr>
          <w:sz w:val="24"/>
          <w:szCs w:val="24"/>
        </w:rPr>
        <w:t>-pragmatics: apologies / complaints / requests / “negative politeness”</w:t>
      </w:r>
    </w:p>
    <w:p w:rsidR="00CD262E" w:rsidRDefault="00CD262E">
      <w:pPr>
        <w:rPr>
          <w:sz w:val="24"/>
          <w:szCs w:val="24"/>
        </w:rPr>
      </w:pPr>
      <w:r w:rsidRPr="00CD262E">
        <w:rPr>
          <w:sz w:val="24"/>
          <w:szCs w:val="24"/>
        </w:rPr>
        <w:t xml:space="preserve">All of the above will influence the formality/informality of the text and will allow you to make a statement in your analysis which can be backed up with </w:t>
      </w:r>
      <w:r w:rsidR="00A93401">
        <w:rPr>
          <w:sz w:val="24"/>
          <w:szCs w:val="24"/>
        </w:rPr>
        <w:t xml:space="preserve">concrete evidence from the text (e.g. what does the language tell us about the participants’ identities? / </w:t>
      </w:r>
      <w:proofErr w:type="gramStart"/>
      <w:r w:rsidR="00A93401">
        <w:rPr>
          <w:sz w:val="24"/>
          <w:szCs w:val="24"/>
        </w:rPr>
        <w:t>the</w:t>
      </w:r>
      <w:proofErr w:type="gramEnd"/>
      <w:r w:rsidR="00A93401">
        <w:rPr>
          <w:sz w:val="24"/>
          <w:szCs w:val="24"/>
        </w:rPr>
        <w:t xml:space="preserve"> language is mostly informal due to…)</w:t>
      </w:r>
    </w:p>
    <w:p w:rsidR="007466EA" w:rsidRPr="007466EA" w:rsidRDefault="007466EA" w:rsidP="007466EA">
      <w:pPr>
        <w:pStyle w:val="Body1"/>
        <w:rPr>
          <w:rFonts w:ascii="Trebuchet MS" w:hAnsi="Trebuchet MS"/>
          <w:b/>
          <w:sz w:val="22"/>
          <w:szCs w:val="22"/>
        </w:rPr>
      </w:pPr>
      <w:proofErr w:type="gramStart"/>
      <w:r w:rsidRPr="007466EA">
        <w:rPr>
          <w:rFonts w:ascii="Trebuchet MS" w:hAnsi="Arial Unicode MS"/>
          <w:b/>
          <w:sz w:val="22"/>
          <w:szCs w:val="22"/>
        </w:rPr>
        <w:t>and</w:t>
      </w:r>
      <w:proofErr w:type="gramEnd"/>
      <w:r w:rsidRPr="007466EA">
        <w:rPr>
          <w:rFonts w:ascii="Trebuchet MS" w:hAnsi="Arial Unicode MS"/>
          <w:b/>
          <w:sz w:val="22"/>
          <w:szCs w:val="22"/>
        </w:rPr>
        <w:t>....</w:t>
      </w:r>
    </w:p>
    <w:p w:rsidR="007466EA" w:rsidRPr="007466EA" w:rsidRDefault="007466EA" w:rsidP="007466EA">
      <w:pPr>
        <w:pStyle w:val="Body1"/>
        <w:rPr>
          <w:rFonts w:ascii="Trebuchet MS" w:hAnsi="Trebuchet MS"/>
          <w:b/>
          <w:sz w:val="22"/>
          <w:szCs w:val="22"/>
        </w:rPr>
      </w:pP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 xml:space="preserve">Make a list of the Features you find in the text, then group them according to their subsystems (e.g. turn-taking = discourse, slang = lexicology, </w:t>
      </w:r>
      <w:proofErr w:type="spellStart"/>
      <w:r w:rsidRPr="007466EA">
        <w:rPr>
          <w:rFonts w:ascii="Trebuchet MS" w:hAnsi="Arial Unicode MS"/>
          <w:sz w:val="22"/>
          <w:szCs w:val="22"/>
        </w:rPr>
        <w:t>exclamative</w:t>
      </w:r>
      <w:proofErr w:type="spellEnd"/>
      <w:r w:rsidRPr="007466EA">
        <w:rPr>
          <w:rFonts w:ascii="Trebuchet MS" w:hAnsi="Arial Unicode MS"/>
          <w:sz w:val="22"/>
          <w:szCs w:val="22"/>
        </w:rPr>
        <w:t xml:space="preserve"> sentences = syntax)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Don't confuse sub systems with features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Never mind which feature you mention - always explain its effect/purpose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If the text is spoken, topic management, conversational strategies and prosodic features have to be discussed as they are unique to spoken texts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Make a second list of features you have 'up your sleeve' (e.g. ambiguity, coherence, inference, jargon, etc.) and see if you can find examples in the text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You don't have to mention the sub systems you are investigating but you should have a structure (paragraphs!) which focuses on one sub system, followed by a discussion of another sub system (i.e. do not discuss different subsystems in one paragraph)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Make sure you link the paragraphs (e.g. '</w:t>
      </w:r>
      <w:proofErr w:type="gramStart"/>
      <w:r w:rsidRPr="007466EA">
        <w:rPr>
          <w:rFonts w:ascii="Trebuchet MS" w:hAnsi="Arial Unicode MS"/>
          <w:sz w:val="22"/>
          <w:szCs w:val="22"/>
        </w:rPr>
        <w:t>Another</w:t>
      </w:r>
      <w:proofErr w:type="gramEnd"/>
      <w:r w:rsidRPr="007466EA">
        <w:rPr>
          <w:rFonts w:ascii="Trebuchet MS" w:hAnsi="Arial Unicode MS"/>
          <w:sz w:val="22"/>
          <w:szCs w:val="22"/>
        </w:rPr>
        <w:t xml:space="preserve"> indication of the informal nature of this text is the frequent use of...')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lastRenderedPageBreak/>
        <w:t>The continuum of formality should be mentioned but it should not be the only thing you concentrate on - the most important thing to keep in mind is the function of the text - e.g. if the main function of the text is to inform which features support this function?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 xml:space="preserve">You can mention the principle of appropriateness in your summary; don't do it right at the start 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Remember that the principle of appropriateness is closely linked to the situational and cultural context - what is acceptable in one culture and/or context might be completely unacceptable in another (e.g. when you state that the POA is adhered to, explain why)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Don't go into too much detail when pointing out features (e.g. explaining a pun should be done in a sentence not a whole paragraph)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Avoid repetition - an analytical commentary should have a final statement which sums up your findings but it is not meant to have a summary which repeats everything you already said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Think carefully about the audience of written texts in particular - readers of 'The Age' might be more likely of a higher socio-economic status but that does not mean they don't want to be entertained</w:t>
      </w:r>
    </w:p>
    <w:p w:rsidR="007466EA" w:rsidRPr="007466EA" w:rsidRDefault="007466EA" w:rsidP="007466EA">
      <w:pPr>
        <w:pStyle w:val="Body1"/>
        <w:numPr>
          <w:ilvl w:val="0"/>
          <w:numId w:val="7"/>
        </w:numPr>
        <w:ind w:hanging="180"/>
        <w:rPr>
          <w:rFonts w:ascii="Trebuchet MS" w:hAnsi="Trebuchet MS"/>
          <w:position w:val="-2"/>
          <w:sz w:val="22"/>
          <w:szCs w:val="22"/>
        </w:rPr>
      </w:pPr>
      <w:r w:rsidRPr="007466EA">
        <w:rPr>
          <w:rFonts w:ascii="Trebuchet MS" w:hAnsi="Arial Unicode MS"/>
          <w:sz w:val="22"/>
          <w:szCs w:val="22"/>
        </w:rPr>
        <w:t>Don't use phrases like 'it can be assumed', or 'it is likely that...' - you are analysing a text and supporting your analysis with cold, hard facts</w:t>
      </w:r>
    </w:p>
    <w:p w:rsidR="008601C3" w:rsidRDefault="008601C3">
      <w:pPr>
        <w:rPr>
          <w:sz w:val="24"/>
          <w:szCs w:val="24"/>
        </w:rPr>
      </w:pPr>
    </w:p>
    <w:p w:rsidR="006F48EC" w:rsidRDefault="00CD262E" w:rsidP="00CD262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structure your commentary</w:t>
      </w:r>
    </w:p>
    <w:p w:rsidR="00B97DE2" w:rsidRDefault="00CE23AE" w:rsidP="00CE23AE">
      <w:pPr>
        <w:spacing w:line="360" w:lineRule="auto"/>
        <w:ind w:left="1080"/>
        <w:rPr>
          <w:sz w:val="24"/>
          <w:szCs w:val="24"/>
        </w:rPr>
      </w:pPr>
      <w:r w:rsidRPr="00CE23AE">
        <w:rPr>
          <w:sz w:val="24"/>
          <w:szCs w:val="24"/>
        </w:rPr>
        <w:t xml:space="preserve">The </w:t>
      </w:r>
      <w:r w:rsidRPr="00CE23AE">
        <w:rPr>
          <w:b/>
          <w:sz w:val="24"/>
          <w:szCs w:val="24"/>
        </w:rPr>
        <w:t>introduction</w:t>
      </w:r>
      <w:r w:rsidRPr="00CE23AE">
        <w:rPr>
          <w:sz w:val="24"/>
          <w:szCs w:val="24"/>
        </w:rPr>
        <w:t xml:space="preserve"> orients the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reader to the writer’s purpose and focus as well as indicates something about what the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reader can expect to find in the remainder of the essay.  Most introductions contain a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 xml:space="preserve">thesis statement which communicates the point the writer intends to make </w:t>
      </w:r>
      <w:r>
        <w:rPr>
          <w:sz w:val="24"/>
          <w:szCs w:val="24"/>
        </w:rPr>
        <w:t>–</w:t>
      </w:r>
      <w:r w:rsidRPr="00CE23AE">
        <w:rPr>
          <w:sz w:val="24"/>
          <w:szCs w:val="24"/>
        </w:rPr>
        <w:t xml:space="preserve"> although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some writers may choose to let the reader infer what their thesis is or to include it at the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end of the composition rather than at the beginning.</w:t>
      </w:r>
    </w:p>
    <w:p w:rsidR="00B97DE2" w:rsidRDefault="00B97DE2" w:rsidP="00B97D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mode</w:t>
      </w:r>
    </w:p>
    <w:p w:rsidR="00B97DE2" w:rsidRDefault="00B97DE2" w:rsidP="00B97D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interlocutors/audience</w:t>
      </w:r>
    </w:p>
    <w:p w:rsidR="00B97DE2" w:rsidRDefault="00B97DE2" w:rsidP="00B97D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context (situational, e.g. function as well as cultural, e.g. beliefs)</w:t>
      </w:r>
    </w:p>
    <w:p w:rsidR="00B97DE2" w:rsidRPr="00B97DE2" w:rsidRDefault="00B97DE2" w:rsidP="00B97D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the text sit on a continuum of formality (contention)</w:t>
      </w:r>
    </w:p>
    <w:p w:rsidR="00B97DE2" w:rsidRDefault="00B97DE2" w:rsidP="00CE23AE">
      <w:pPr>
        <w:spacing w:line="360" w:lineRule="auto"/>
        <w:ind w:left="1080"/>
        <w:rPr>
          <w:sz w:val="24"/>
          <w:szCs w:val="24"/>
        </w:rPr>
      </w:pPr>
    </w:p>
    <w:p w:rsidR="00B97DE2" w:rsidRDefault="00CE23AE" w:rsidP="00CE23AE">
      <w:pPr>
        <w:spacing w:line="360" w:lineRule="auto"/>
        <w:ind w:left="1080"/>
        <w:rPr>
          <w:sz w:val="24"/>
          <w:szCs w:val="24"/>
        </w:rPr>
      </w:pPr>
      <w:r w:rsidRPr="00CE23AE">
        <w:rPr>
          <w:sz w:val="24"/>
          <w:szCs w:val="24"/>
        </w:rPr>
        <w:t xml:space="preserve">  In the </w:t>
      </w:r>
      <w:r w:rsidRPr="00CE23AE">
        <w:rPr>
          <w:b/>
          <w:sz w:val="24"/>
          <w:szCs w:val="24"/>
        </w:rPr>
        <w:t>main body</w:t>
      </w:r>
      <w:r w:rsidRPr="00CE23AE">
        <w:rPr>
          <w:sz w:val="24"/>
          <w:szCs w:val="24"/>
        </w:rPr>
        <w:t>, the writer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explores and develops the controlling idea or ideas presented in the introduction point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by point by providing examples, details, and facts, by giving reasons, and by relating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 xml:space="preserve">incidents.  </w:t>
      </w:r>
    </w:p>
    <w:p w:rsidR="00B97DE2" w:rsidRPr="00B97DE2" w:rsidRDefault="00B97DE2" w:rsidP="00B97DE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Explore language features which support your contention; always refer back to function of the text</w:t>
      </w:r>
    </w:p>
    <w:p w:rsidR="00B97DE2" w:rsidRDefault="00B97DE2" w:rsidP="00CE23AE">
      <w:pPr>
        <w:spacing w:line="360" w:lineRule="auto"/>
        <w:ind w:left="1080"/>
        <w:rPr>
          <w:sz w:val="24"/>
          <w:szCs w:val="24"/>
        </w:rPr>
      </w:pPr>
    </w:p>
    <w:p w:rsidR="00CD262E" w:rsidRDefault="00CE23AE" w:rsidP="00CE23AE">
      <w:pPr>
        <w:spacing w:line="360" w:lineRule="auto"/>
        <w:ind w:left="1080"/>
        <w:rPr>
          <w:sz w:val="24"/>
          <w:szCs w:val="24"/>
        </w:rPr>
      </w:pPr>
      <w:r w:rsidRPr="00CE23AE">
        <w:rPr>
          <w:sz w:val="24"/>
          <w:szCs w:val="24"/>
        </w:rPr>
        <w:t xml:space="preserve">The </w:t>
      </w:r>
      <w:r w:rsidRPr="00CE23AE">
        <w:rPr>
          <w:b/>
          <w:sz w:val="24"/>
          <w:szCs w:val="24"/>
        </w:rPr>
        <w:t>conclusion</w:t>
      </w:r>
      <w:r w:rsidRPr="00CE23AE">
        <w:rPr>
          <w:sz w:val="24"/>
          <w:szCs w:val="24"/>
        </w:rPr>
        <w:t xml:space="preserve"> reminds the reader of the essay’s main point by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summarizing, coming full circle, exploring the significance of something, asking a</w:t>
      </w:r>
      <w:r>
        <w:rPr>
          <w:sz w:val="24"/>
          <w:szCs w:val="24"/>
        </w:rPr>
        <w:t xml:space="preserve"> </w:t>
      </w:r>
      <w:r w:rsidRPr="00CE23AE">
        <w:rPr>
          <w:sz w:val="24"/>
          <w:szCs w:val="24"/>
        </w:rPr>
        <w:t>question, offering new insights, etc.</w:t>
      </w:r>
    </w:p>
    <w:p w:rsidR="008601C3" w:rsidRPr="008601C3" w:rsidRDefault="008601C3" w:rsidP="008601C3">
      <w:pPr>
        <w:pStyle w:val="ListParagraph"/>
        <w:spacing w:line="360" w:lineRule="auto"/>
        <w:ind w:left="1800"/>
        <w:rPr>
          <w:sz w:val="24"/>
          <w:szCs w:val="24"/>
        </w:rPr>
      </w:pPr>
    </w:p>
    <w:sectPr w:rsidR="008601C3" w:rsidRPr="008601C3" w:rsidSect="00C440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D3" w:rsidRDefault="00F63BD3" w:rsidP="00C44064">
      <w:pPr>
        <w:spacing w:after="0" w:line="240" w:lineRule="auto"/>
      </w:pPr>
      <w:r>
        <w:separator/>
      </w:r>
    </w:p>
  </w:endnote>
  <w:endnote w:type="continuationSeparator" w:id="0">
    <w:p w:rsidR="00F63BD3" w:rsidRDefault="00F63BD3" w:rsidP="00C4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D3" w:rsidRDefault="00F63BD3" w:rsidP="00C44064">
      <w:pPr>
        <w:spacing w:after="0" w:line="240" w:lineRule="auto"/>
      </w:pPr>
      <w:r>
        <w:separator/>
      </w:r>
    </w:p>
  </w:footnote>
  <w:footnote w:type="continuationSeparator" w:id="0">
    <w:p w:rsidR="00F63BD3" w:rsidRDefault="00F63BD3" w:rsidP="00C4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4209D2B6734C738723577D54EE14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4064" w:rsidRDefault="00C440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Language Unit 3 &amp; 4</w:t>
        </w:r>
      </w:p>
    </w:sdtContent>
  </w:sdt>
  <w:p w:rsidR="00C44064" w:rsidRDefault="00C44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Trebuchet MS" w:eastAsia="Arial Unicode MS" w:hAnsi="Trebuchet MS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rebuchet MS" w:eastAsia="Arial Unicode MS" w:hAnsi="Trebuchet MS"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rebuchet MS" w:eastAsia="Arial Unicode MS" w:hAnsi="Trebuchet MS"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rebuchet MS" w:eastAsia="Arial Unicode MS" w:hAnsi="Trebuchet MS"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rebuchet MS" w:eastAsia="Arial Unicode MS" w:hAnsi="Trebuchet MS"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rebuchet MS" w:eastAsia="Arial Unicode MS" w:hAnsi="Trebuchet MS"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rebuchet MS" w:eastAsia="Arial Unicode MS" w:hAnsi="Trebuchet MS"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rebuchet MS" w:eastAsia="Arial Unicode MS" w:hAnsi="Trebuchet MS"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rebuchet MS" w:eastAsia="Arial Unicode MS" w:hAnsi="Trebuchet MS" w:hint="default"/>
        <w:position w:val="-2"/>
      </w:rPr>
    </w:lvl>
  </w:abstractNum>
  <w:abstractNum w:abstractNumId="1">
    <w:nsid w:val="0A174AE6"/>
    <w:multiLevelType w:val="hybridMultilevel"/>
    <w:tmpl w:val="3124C370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293388"/>
    <w:multiLevelType w:val="hybridMultilevel"/>
    <w:tmpl w:val="10D4D4C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3C7836"/>
    <w:multiLevelType w:val="hybridMultilevel"/>
    <w:tmpl w:val="1270A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9B6FCB"/>
    <w:multiLevelType w:val="hybridMultilevel"/>
    <w:tmpl w:val="42926D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5B655E"/>
    <w:multiLevelType w:val="hybridMultilevel"/>
    <w:tmpl w:val="329AAE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050F9"/>
    <w:multiLevelType w:val="hybridMultilevel"/>
    <w:tmpl w:val="6AA6E0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64"/>
    <w:rsid w:val="000876CB"/>
    <w:rsid w:val="004B66E9"/>
    <w:rsid w:val="00512D90"/>
    <w:rsid w:val="00620875"/>
    <w:rsid w:val="006F48EC"/>
    <w:rsid w:val="007466EA"/>
    <w:rsid w:val="008601C3"/>
    <w:rsid w:val="008949A4"/>
    <w:rsid w:val="00A27D05"/>
    <w:rsid w:val="00A93401"/>
    <w:rsid w:val="00B04174"/>
    <w:rsid w:val="00B97DE2"/>
    <w:rsid w:val="00C44064"/>
    <w:rsid w:val="00CD262E"/>
    <w:rsid w:val="00CE23AE"/>
    <w:rsid w:val="00D74B81"/>
    <w:rsid w:val="00F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64"/>
  </w:style>
  <w:style w:type="paragraph" w:styleId="Footer">
    <w:name w:val="footer"/>
    <w:basedOn w:val="Normal"/>
    <w:link w:val="FooterChar"/>
    <w:uiPriority w:val="99"/>
    <w:unhideWhenUsed/>
    <w:rsid w:val="00C4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64"/>
  </w:style>
  <w:style w:type="paragraph" w:styleId="BalloonText">
    <w:name w:val="Balloon Text"/>
    <w:basedOn w:val="Normal"/>
    <w:link w:val="BalloonTextChar"/>
    <w:uiPriority w:val="99"/>
    <w:semiHidden/>
    <w:unhideWhenUsed/>
    <w:rsid w:val="00C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8EC"/>
    <w:pPr>
      <w:ind w:left="720"/>
      <w:contextualSpacing/>
    </w:pPr>
  </w:style>
  <w:style w:type="paragraph" w:customStyle="1" w:styleId="Body1">
    <w:name w:val="Body 1"/>
    <w:rsid w:val="007466E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64"/>
  </w:style>
  <w:style w:type="paragraph" w:styleId="Footer">
    <w:name w:val="footer"/>
    <w:basedOn w:val="Normal"/>
    <w:link w:val="FooterChar"/>
    <w:uiPriority w:val="99"/>
    <w:unhideWhenUsed/>
    <w:rsid w:val="00C4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64"/>
  </w:style>
  <w:style w:type="paragraph" w:styleId="BalloonText">
    <w:name w:val="Balloon Text"/>
    <w:basedOn w:val="Normal"/>
    <w:link w:val="BalloonTextChar"/>
    <w:uiPriority w:val="99"/>
    <w:semiHidden/>
    <w:unhideWhenUsed/>
    <w:rsid w:val="00C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8EC"/>
    <w:pPr>
      <w:ind w:left="720"/>
      <w:contextualSpacing/>
    </w:pPr>
  </w:style>
  <w:style w:type="paragraph" w:customStyle="1" w:styleId="Body1">
    <w:name w:val="Body 1"/>
    <w:rsid w:val="007466E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4209D2B6734C738723577D54EE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81EC-D9D4-4DA4-811F-D8EEE9B6A515}"/>
      </w:docPartPr>
      <w:docPartBody>
        <w:p w:rsidR="000B7037" w:rsidRDefault="007E1332" w:rsidP="007E1332">
          <w:pPr>
            <w:pStyle w:val="654209D2B6734C738723577D54EE14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32"/>
    <w:rsid w:val="000B7037"/>
    <w:rsid w:val="003F61C1"/>
    <w:rsid w:val="00473743"/>
    <w:rsid w:val="00781306"/>
    <w:rsid w:val="007E1332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209D2B6734C738723577D54EE1411">
    <w:name w:val="654209D2B6734C738723577D54EE1411"/>
    <w:rsid w:val="007E1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209D2B6734C738723577D54EE1411">
    <w:name w:val="654209D2B6734C738723577D54EE1411"/>
    <w:rsid w:val="007E1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Unit 3 &amp; 4</vt:lpstr>
    </vt:vector>
  </TitlesOfParts>
  <Company>Tintern Schools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Unit 3 &amp; 4</dc:title>
  <dc:creator>thisssi</dc:creator>
  <cp:lastModifiedBy>bale-ra</cp:lastModifiedBy>
  <cp:revision>2</cp:revision>
  <dcterms:created xsi:type="dcterms:W3CDTF">2013-02-22T04:47:00Z</dcterms:created>
  <dcterms:modified xsi:type="dcterms:W3CDTF">2013-02-22T04:47:00Z</dcterms:modified>
</cp:coreProperties>
</file>